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FA" w:rsidRPr="00F033FA" w:rsidRDefault="00F033FA" w:rsidP="00F033FA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20E6">
        <w:rPr>
          <w:rFonts w:ascii="Times New Roman" w:hAnsi="Times New Roman" w:cs="Times New Roman"/>
          <w:b/>
          <w:sz w:val="28"/>
          <w:szCs w:val="28"/>
        </w:rPr>
        <w:t>Заседание Совета директоров от 30 января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20E6">
        <w:rPr>
          <w:rFonts w:ascii="Times New Roman" w:hAnsi="Times New Roman" w:cs="Times New Roman"/>
          <w:b/>
          <w:sz w:val="28"/>
          <w:szCs w:val="28"/>
        </w:rPr>
        <w:t>5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33FA" w:rsidRPr="00F033FA" w:rsidRDefault="005F20E6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30 января</w:t>
      </w:r>
      <w:r w:rsidR="00F033FA"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3FA"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Республики Казахстан «Об акционерных обществах» </w:t>
      </w:r>
      <w:r w:rsidR="00F033FA"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следующие вопросы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5F20E6" w:rsidRDefault="006831B8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0E6"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передачи ТОО «АЭС Усть-Каменогорская ГЭС», ТОО «АЭС Шульбинская ГЭС», </w:t>
      </w:r>
      <w:r w:rsidR="005F20E6" w:rsidRPr="00750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«Шардаринская ГЭС» в Публичную компанию «Qazaq Green Power PLC;</w:t>
      </w:r>
    </w:p>
    <w:p w:rsidR="005F20E6" w:rsidRPr="005F20E6" w:rsidRDefault="005F20E6" w:rsidP="001D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D7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5205B" w:rsidRDefault="00D5205B"/>
    <w:sectPr w:rsidR="00D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FA"/>
    <w:rsid w:val="001D3762"/>
    <w:rsid w:val="002327D7"/>
    <w:rsid w:val="005F20E6"/>
    <w:rsid w:val="00610A66"/>
    <w:rsid w:val="006831B8"/>
    <w:rsid w:val="00750BAB"/>
    <w:rsid w:val="008A2428"/>
    <w:rsid w:val="00D5205B"/>
    <w:rsid w:val="00DB5A4F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C45C-E0AB-4B85-967A-B85369CB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Дархан Кулымбетов</cp:lastModifiedBy>
  <cp:revision>5</cp:revision>
  <dcterms:created xsi:type="dcterms:W3CDTF">2025-02-04T12:26:00Z</dcterms:created>
  <dcterms:modified xsi:type="dcterms:W3CDTF">2025-02-05T04:55:00Z</dcterms:modified>
</cp:coreProperties>
</file>